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C3" w:rsidRPr="007B7ADA" w:rsidRDefault="000826C3" w:rsidP="000826C3">
      <w:pPr>
        <w:spacing w:line="240" w:lineRule="auto"/>
        <w:rPr>
          <w:rFonts w:ascii="Times New Roman" w:hAnsi="Times New Roman" w:cs="Times New Roman"/>
          <w:b/>
          <w:sz w:val="24"/>
          <w:szCs w:val="24"/>
        </w:rPr>
      </w:pPr>
      <w:bookmarkStart w:id="0" w:name="_GoBack"/>
      <w:bookmarkEnd w:id="0"/>
      <w:r w:rsidRPr="007B7ADA">
        <w:rPr>
          <w:rFonts w:ascii="Times New Roman" w:hAnsi="Times New Roman" w:cs="Times New Roman"/>
          <w:b/>
          <w:sz w:val="24"/>
          <w:szCs w:val="24"/>
        </w:rPr>
        <w:t>Costs, Margins and Breakeven</w:t>
      </w:r>
    </w:p>
    <w:p w:rsidR="000826C3" w:rsidRDefault="000826C3" w:rsidP="000826C3">
      <w:pPr>
        <w:spacing w:line="240" w:lineRule="auto"/>
        <w:rPr>
          <w:rFonts w:ascii="Times New Roman" w:hAnsi="Times New Roman" w:cs="Times New Roman"/>
          <w:sz w:val="24"/>
          <w:szCs w:val="24"/>
        </w:rPr>
      </w:pPr>
      <w:r>
        <w:rPr>
          <w:rFonts w:ascii="Times New Roman" w:hAnsi="Times New Roman" w:cs="Times New Roman"/>
          <w:sz w:val="24"/>
          <w:szCs w:val="24"/>
        </w:rPr>
        <w:t xml:space="preserve">Sanaa has six revenue drivers. Bonbons represent 64% of total sales (80% of our manufactured chocolate product sales), turtles are 6.6% of sales, </w:t>
      </w:r>
      <w:proofErr w:type="spellStart"/>
      <w:r>
        <w:rPr>
          <w:rFonts w:ascii="Times New Roman" w:hAnsi="Times New Roman" w:cs="Times New Roman"/>
          <w:sz w:val="24"/>
          <w:szCs w:val="24"/>
        </w:rPr>
        <w:t>mendiants</w:t>
      </w:r>
      <w:proofErr w:type="spellEnd"/>
      <w:r>
        <w:rPr>
          <w:rFonts w:ascii="Times New Roman" w:hAnsi="Times New Roman" w:cs="Times New Roman"/>
          <w:sz w:val="24"/>
          <w:szCs w:val="24"/>
        </w:rPr>
        <w:t xml:space="preserve"> are 6% of sales, peanut butter cups are 2.4% of sales, and chocolate dipped fruits are 1% of sales. The other 20% is revenue from hot chocolate mix (that we sometimes sell when raw material is available) and an assortment of other products sourced from outside providers and resold. Prices for the internally manufactured items range from $1.18 per unit for chocolate dipped fruits (sold in package of 11) to $3.50 per piece for turtles. An average price of $10 is used for the mix of externally sourced items. Variable costs include ingredients, labor and packaging costs. As summarized in the table below, the margins on all five revenue drivers are favorable, ranging as high on a percentage basis as .84 and .89 on turtles and peanut butter cups, respectively. The major profit contributor is the bonbons, constituting the biggest proportion of sales with a contribution margin percentage of .64. </w:t>
      </w:r>
    </w:p>
    <w:p w:rsidR="000826C3" w:rsidRDefault="000826C3" w:rsidP="000826C3">
      <w:pPr>
        <w:spacing w:after="0" w:line="240" w:lineRule="auto"/>
        <w:rPr>
          <w:rFonts w:ascii="Times New Roman" w:hAnsi="Times New Roman" w:cs="Times New Roman"/>
          <w:sz w:val="24"/>
          <w:szCs w:val="24"/>
        </w:rPr>
      </w:pPr>
    </w:p>
    <w:tbl>
      <w:tblPr>
        <w:tblStyle w:val="MediumGrid1-Accent1"/>
        <w:tblW w:w="5000" w:type="pct"/>
        <w:tblLayout w:type="fixed"/>
        <w:tblLook w:val="04A0" w:firstRow="1" w:lastRow="0" w:firstColumn="1" w:lastColumn="0" w:noHBand="0" w:noVBand="1"/>
      </w:tblPr>
      <w:tblGrid>
        <w:gridCol w:w="1970"/>
        <w:gridCol w:w="1080"/>
        <w:gridCol w:w="1261"/>
        <w:gridCol w:w="1169"/>
        <w:gridCol w:w="990"/>
        <w:gridCol w:w="899"/>
        <w:gridCol w:w="1971"/>
      </w:tblGrid>
      <w:tr w:rsidR="000826C3" w:rsidRPr="0020352C" w:rsidTr="008C07C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5" w:type="pct"/>
            <w:noWrap/>
            <w:hideMark/>
          </w:tcPr>
          <w:p w:rsidR="000826C3" w:rsidRPr="0020352C" w:rsidRDefault="000826C3" w:rsidP="008C07C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Product</w:t>
            </w:r>
          </w:p>
        </w:tc>
        <w:tc>
          <w:tcPr>
            <w:tcW w:w="578" w:type="pct"/>
            <w:noWrap/>
            <w:hideMark/>
          </w:tcPr>
          <w:p w:rsidR="000826C3" w:rsidRPr="0020352C"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Bonbons</w:t>
            </w:r>
          </w:p>
        </w:tc>
        <w:tc>
          <w:tcPr>
            <w:tcW w:w="675" w:type="pct"/>
            <w:noWrap/>
            <w:hideMark/>
          </w:tcPr>
          <w:p w:rsidR="000826C3"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Chocolate Dipped </w:t>
            </w:r>
          </w:p>
          <w:p w:rsidR="000826C3" w:rsidRPr="0020352C"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Fruit</w:t>
            </w:r>
          </w:p>
        </w:tc>
        <w:tc>
          <w:tcPr>
            <w:tcW w:w="626" w:type="pct"/>
            <w:noWrap/>
            <w:hideMark/>
          </w:tcPr>
          <w:p w:rsidR="000826C3" w:rsidRPr="0020352C"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Mendiants</w:t>
            </w:r>
            <w:proofErr w:type="spellEnd"/>
          </w:p>
        </w:tc>
        <w:tc>
          <w:tcPr>
            <w:tcW w:w="530" w:type="pct"/>
            <w:noWrap/>
            <w:hideMark/>
          </w:tcPr>
          <w:p w:rsidR="000826C3"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Peanut Butter </w:t>
            </w:r>
          </w:p>
          <w:p w:rsidR="000826C3" w:rsidRPr="0020352C"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Cups</w:t>
            </w:r>
          </w:p>
        </w:tc>
        <w:tc>
          <w:tcPr>
            <w:tcW w:w="481" w:type="pct"/>
            <w:noWrap/>
            <w:hideMark/>
          </w:tcPr>
          <w:p w:rsidR="000826C3" w:rsidRPr="0020352C"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Turtles</w:t>
            </w:r>
          </w:p>
        </w:tc>
        <w:tc>
          <w:tcPr>
            <w:tcW w:w="1055" w:type="pct"/>
          </w:tcPr>
          <w:p w:rsidR="000826C3"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Other</w:t>
            </w:r>
          </w:p>
          <w:p w:rsidR="000826C3" w:rsidRDefault="000826C3" w:rsidP="008C07C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(hot chocolate, sourced products)</w:t>
            </w:r>
          </w:p>
        </w:tc>
      </w:tr>
      <w:tr w:rsidR="000826C3" w:rsidRPr="0020352C"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5" w:type="pct"/>
            <w:noWrap/>
            <w:hideMark/>
          </w:tcPr>
          <w:p w:rsidR="000826C3" w:rsidRPr="0020352C" w:rsidRDefault="000826C3" w:rsidP="008C07C3">
            <w:pPr>
              <w:rPr>
                <w:rFonts w:ascii="Times New Roman" w:eastAsia="Times New Roman" w:hAnsi="Times New Roman" w:cs="Times New Roman"/>
                <w:sz w:val="20"/>
                <w:szCs w:val="20"/>
              </w:rPr>
            </w:pPr>
            <w:r w:rsidRPr="0020352C">
              <w:rPr>
                <w:rFonts w:ascii="Times New Roman" w:eastAsia="Times New Roman" w:hAnsi="Times New Roman" w:cs="Times New Roman"/>
                <w:sz w:val="20"/>
                <w:szCs w:val="20"/>
              </w:rPr>
              <w:t> </w:t>
            </w:r>
          </w:p>
        </w:tc>
        <w:tc>
          <w:tcPr>
            <w:tcW w:w="578"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c>
          <w:tcPr>
            <w:tcW w:w="675"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c>
          <w:tcPr>
            <w:tcW w:w="626"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c>
          <w:tcPr>
            <w:tcW w:w="530"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c>
          <w:tcPr>
            <w:tcW w:w="481"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c>
          <w:tcPr>
            <w:tcW w:w="1055" w:type="pct"/>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p>
        </w:tc>
      </w:tr>
      <w:tr w:rsidR="000826C3" w:rsidRPr="0020352C" w:rsidTr="008C07C3">
        <w:trPr>
          <w:trHeight w:val="255"/>
        </w:trPr>
        <w:tc>
          <w:tcPr>
            <w:cnfStyle w:val="001000000000" w:firstRow="0" w:lastRow="0" w:firstColumn="1" w:lastColumn="0" w:oddVBand="0" w:evenVBand="0" w:oddHBand="0" w:evenHBand="0" w:firstRowFirstColumn="0" w:firstRowLastColumn="0" w:lastRowFirstColumn="0" w:lastRowLastColumn="0"/>
            <w:tcW w:w="1055" w:type="pct"/>
            <w:noWrap/>
            <w:hideMark/>
          </w:tcPr>
          <w:p w:rsidR="000826C3" w:rsidRPr="0020352C" w:rsidRDefault="000826C3" w:rsidP="008C07C3">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Price per piece</w:t>
            </w:r>
          </w:p>
        </w:tc>
        <w:tc>
          <w:tcPr>
            <w:tcW w:w="578"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1D5F10">
              <w:rPr>
                <w:rFonts w:ascii="Times New Roman" w:eastAsia="Times New Roman" w:hAnsi="Times New Roman" w:cs="Times New Roman"/>
                <w:b/>
                <w:sz w:val="20"/>
                <w:szCs w:val="20"/>
              </w:rPr>
              <w:t>$2.50</w:t>
            </w:r>
          </w:p>
        </w:tc>
        <w:tc>
          <w:tcPr>
            <w:tcW w:w="675"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1D5F10">
              <w:rPr>
                <w:rFonts w:ascii="Times New Roman" w:eastAsia="Times New Roman" w:hAnsi="Times New Roman" w:cs="Times New Roman"/>
                <w:b/>
                <w:sz w:val="20"/>
                <w:szCs w:val="20"/>
              </w:rPr>
              <w:t>$1.18</w:t>
            </w:r>
          </w:p>
        </w:tc>
        <w:tc>
          <w:tcPr>
            <w:tcW w:w="626"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1D5F10">
              <w:rPr>
                <w:rFonts w:ascii="Times New Roman" w:eastAsia="Times New Roman" w:hAnsi="Times New Roman" w:cs="Times New Roman"/>
                <w:b/>
                <w:sz w:val="20"/>
                <w:szCs w:val="20"/>
              </w:rPr>
              <w:t>$2.50</w:t>
            </w:r>
          </w:p>
        </w:tc>
        <w:tc>
          <w:tcPr>
            <w:tcW w:w="530"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1D5F10">
              <w:rPr>
                <w:rFonts w:ascii="Times New Roman" w:eastAsia="Times New Roman" w:hAnsi="Times New Roman" w:cs="Times New Roman"/>
                <w:b/>
                <w:sz w:val="20"/>
                <w:szCs w:val="20"/>
              </w:rPr>
              <w:t>$2.25</w:t>
            </w:r>
          </w:p>
        </w:tc>
        <w:tc>
          <w:tcPr>
            <w:tcW w:w="481"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1D5F10">
              <w:rPr>
                <w:rFonts w:ascii="Times New Roman" w:eastAsia="Times New Roman" w:hAnsi="Times New Roman" w:cs="Times New Roman"/>
                <w:b/>
                <w:sz w:val="20"/>
                <w:szCs w:val="20"/>
              </w:rPr>
              <w:t>$3.50</w:t>
            </w:r>
          </w:p>
        </w:tc>
        <w:tc>
          <w:tcPr>
            <w:tcW w:w="1055" w:type="pct"/>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$9 (average)</w:t>
            </w:r>
          </w:p>
        </w:tc>
      </w:tr>
      <w:tr w:rsidR="000826C3" w:rsidRPr="0020352C"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5" w:type="pct"/>
            <w:noWrap/>
            <w:hideMark/>
          </w:tcPr>
          <w:p w:rsidR="000826C3" w:rsidRDefault="000826C3" w:rsidP="008C07C3">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Variable cost per </w:t>
            </w:r>
          </w:p>
          <w:p w:rsidR="000826C3" w:rsidRPr="0020352C"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unit</w:t>
            </w:r>
          </w:p>
        </w:tc>
        <w:tc>
          <w:tcPr>
            <w:tcW w:w="578"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1D5F10">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.9</w:t>
            </w:r>
            <w:r w:rsidRPr="001D5F10">
              <w:rPr>
                <w:rFonts w:ascii="Times New Roman" w:eastAsia="Times New Roman" w:hAnsi="Times New Roman" w:cs="Times New Roman"/>
                <w:b/>
                <w:bCs/>
                <w:sz w:val="20"/>
                <w:szCs w:val="20"/>
              </w:rPr>
              <w:t>0</w:t>
            </w:r>
          </w:p>
        </w:tc>
        <w:tc>
          <w:tcPr>
            <w:tcW w:w="675"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$.36</w:t>
            </w:r>
          </w:p>
        </w:tc>
        <w:tc>
          <w:tcPr>
            <w:tcW w:w="626"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$.60</w:t>
            </w:r>
          </w:p>
        </w:tc>
        <w:tc>
          <w:tcPr>
            <w:tcW w:w="530"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481"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$.55</w:t>
            </w:r>
          </w:p>
        </w:tc>
        <w:tc>
          <w:tcPr>
            <w:tcW w:w="1055" w:type="pct"/>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$7.00</w:t>
            </w:r>
          </w:p>
        </w:tc>
      </w:tr>
      <w:tr w:rsidR="000826C3" w:rsidRPr="0020352C" w:rsidTr="008C07C3">
        <w:trPr>
          <w:trHeight w:val="255"/>
        </w:trPr>
        <w:tc>
          <w:tcPr>
            <w:cnfStyle w:val="001000000000" w:firstRow="0" w:lastRow="0" w:firstColumn="1" w:lastColumn="0" w:oddVBand="0" w:evenVBand="0" w:oddHBand="0" w:evenHBand="0" w:firstRowFirstColumn="0" w:firstRowLastColumn="0" w:lastRowFirstColumn="0" w:lastRowLastColumn="0"/>
            <w:tcW w:w="1055" w:type="pct"/>
            <w:noWrap/>
            <w:hideMark/>
          </w:tcPr>
          <w:p w:rsidR="000826C3" w:rsidRDefault="000826C3" w:rsidP="008C07C3">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Contribution</w:t>
            </w:r>
          </w:p>
          <w:p w:rsidR="000826C3" w:rsidRPr="0020352C"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margin</w:t>
            </w:r>
          </w:p>
        </w:tc>
        <w:tc>
          <w:tcPr>
            <w:tcW w:w="578"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w:t>
            </w:r>
          </w:p>
        </w:tc>
        <w:tc>
          <w:tcPr>
            <w:tcW w:w="675"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$.82</w:t>
            </w:r>
          </w:p>
        </w:tc>
        <w:tc>
          <w:tcPr>
            <w:tcW w:w="626"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w:t>
            </w:r>
          </w:p>
        </w:tc>
        <w:tc>
          <w:tcPr>
            <w:tcW w:w="530"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w:t>
            </w:r>
          </w:p>
        </w:tc>
        <w:tc>
          <w:tcPr>
            <w:tcW w:w="481"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$2.95</w:t>
            </w:r>
          </w:p>
        </w:tc>
        <w:tc>
          <w:tcPr>
            <w:tcW w:w="1055" w:type="pct"/>
          </w:tcPr>
          <w:p w:rsidR="000826C3"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w:t>
            </w:r>
          </w:p>
        </w:tc>
      </w:tr>
      <w:tr w:rsidR="000826C3" w:rsidRPr="0020352C"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5" w:type="pct"/>
            <w:noWrap/>
          </w:tcPr>
          <w:p w:rsidR="000826C3" w:rsidRDefault="000826C3" w:rsidP="008C07C3">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Contribution margin as a</w:t>
            </w:r>
          </w:p>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percentage (PVCM)</w:t>
            </w:r>
          </w:p>
        </w:tc>
        <w:tc>
          <w:tcPr>
            <w:tcW w:w="578" w:type="pct"/>
            <w:noWrap/>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.64</w:t>
            </w:r>
          </w:p>
        </w:tc>
        <w:tc>
          <w:tcPr>
            <w:tcW w:w="675" w:type="pct"/>
            <w:noWrap/>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.69</w:t>
            </w:r>
          </w:p>
        </w:tc>
        <w:tc>
          <w:tcPr>
            <w:tcW w:w="626"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c>
          <w:tcPr>
            <w:tcW w:w="530"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.88</w:t>
            </w:r>
          </w:p>
        </w:tc>
        <w:tc>
          <w:tcPr>
            <w:tcW w:w="481"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.84</w:t>
            </w:r>
          </w:p>
        </w:tc>
        <w:tc>
          <w:tcPr>
            <w:tcW w:w="1055" w:type="pct"/>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r>
      <w:tr w:rsidR="000826C3" w:rsidRPr="0020352C" w:rsidTr="008C07C3">
        <w:trPr>
          <w:trHeight w:val="255"/>
        </w:trPr>
        <w:tc>
          <w:tcPr>
            <w:cnfStyle w:val="001000000000" w:firstRow="0" w:lastRow="0" w:firstColumn="1" w:lastColumn="0" w:oddVBand="0" w:evenVBand="0" w:oddHBand="0" w:evenHBand="0" w:firstRowFirstColumn="0" w:firstRowLastColumn="0" w:lastRowFirstColumn="0" w:lastRowLastColumn="0"/>
            <w:tcW w:w="1055" w:type="pct"/>
            <w:noWrap/>
            <w:hideMark/>
          </w:tcPr>
          <w:p w:rsidR="000826C3" w:rsidRDefault="000826C3" w:rsidP="008C07C3">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of total sales accounted</w:t>
            </w:r>
          </w:p>
          <w:p w:rsidR="000826C3" w:rsidRPr="0020352C"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by product</w:t>
            </w:r>
          </w:p>
        </w:tc>
        <w:tc>
          <w:tcPr>
            <w:tcW w:w="578"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64</w:t>
            </w:r>
            <w:r w:rsidRPr="001D5F10">
              <w:rPr>
                <w:rFonts w:ascii="Times New Roman" w:eastAsia="Times New Roman" w:hAnsi="Times New Roman" w:cs="Times New Roman"/>
                <w:b/>
                <w:sz w:val="20"/>
                <w:szCs w:val="20"/>
              </w:rPr>
              <w:t>%</w:t>
            </w:r>
          </w:p>
        </w:tc>
        <w:tc>
          <w:tcPr>
            <w:tcW w:w="675"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1D5F10">
              <w:rPr>
                <w:rFonts w:ascii="Times New Roman" w:eastAsia="Times New Roman" w:hAnsi="Times New Roman" w:cs="Times New Roman"/>
                <w:b/>
                <w:sz w:val="20"/>
                <w:szCs w:val="20"/>
              </w:rPr>
              <w:t>1%</w:t>
            </w:r>
          </w:p>
        </w:tc>
        <w:tc>
          <w:tcPr>
            <w:tcW w:w="626"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sidRPr="001D5F10">
              <w:rPr>
                <w:rFonts w:ascii="Times New Roman" w:eastAsia="Times New Roman" w:hAnsi="Times New Roman" w:cs="Times New Roman"/>
                <w:b/>
                <w:sz w:val="20"/>
                <w:szCs w:val="20"/>
              </w:rPr>
              <w:t>%</w:t>
            </w:r>
          </w:p>
        </w:tc>
        <w:tc>
          <w:tcPr>
            <w:tcW w:w="530"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r w:rsidRPr="001D5F10">
              <w:rPr>
                <w:rFonts w:ascii="Times New Roman" w:eastAsia="Times New Roman" w:hAnsi="Times New Roman" w:cs="Times New Roman"/>
                <w:b/>
                <w:sz w:val="20"/>
                <w:szCs w:val="20"/>
              </w:rPr>
              <w:t>%</w:t>
            </w:r>
          </w:p>
        </w:tc>
        <w:tc>
          <w:tcPr>
            <w:tcW w:w="481"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6.6</w:t>
            </w:r>
            <w:r w:rsidRPr="001D5F10">
              <w:rPr>
                <w:rFonts w:ascii="Times New Roman" w:eastAsia="Times New Roman" w:hAnsi="Times New Roman" w:cs="Times New Roman"/>
                <w:b/>
                <w:sz w:val="20"/>
                <w:szCs w:val="20"/>
              </w:rPr>
              <w:t>%</w:t>
            </w:r>
          </w:p>
        </w:tc>
        <w:tc>
          <w:tcPr>
            <w:tcW w:w="1055" w:type="pct"/>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r>
      <w:tr w:rsidR="000826C3" w:rsidRPr="0020352C"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5" w:type="pct"/>
            <w:noWrap/>
            <w:hideMark/>
          </w:tcPr>
          <w:p w:rsidR="000826C3" w:rsidRPr="0020352C" w:rsidRDefault="000826C3" w:rsidP="008C07C3">
            <w:pPr>
              <w:rPr>
                <w:rFonts w:ascii="Times New Roman" w:eastAsia="Times New Roman" w:hAnsi="Times New Roman" w:cs="Times New Roman"/>
                <w:sz w:val="20"/>
                <w:szCs w:val="20"/>
              </w:rPr>
            </w:pPr>
            <w:r w:rsidRPr="0020352C">
              <w:rPr>
                <w:rFonts w:ascii="Times New Roman" w:eastAsia="Times New Roman" w:hAnsi="Times New Roman" w:cs="Times New Roman"/>
                <w:sz w:val="20"/>
                <w:szCs w:val="20"/>
              </w:rPr>
              <w:t> </w:t>
            </w:r>
          </w:p>
        </w:tc>
        <w:tc>
          <w:tcPr>
            <w:tcW w:w="578"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675" w:type="pct"/>
            <w:noWrap/>
            <w:hideMark/>
          </w:tcPr>
          <w:p w:rsidR="000826C3" w:rsidRDefault="000826C3" w:rsidP="008C07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 sold in </w:t>
            </w:r>
          </w:p>
          <w:p w:rsidR="000826C3" w:rsidRDefault="000826C3" w:rsidP="008C07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packages of 11; numbers</w:t>
            </w:r>
          </w:p>
          <w:p w:rsidR="000826C3" w:rsidRPr="0020352C" w:rsidRDefault="000826C3" w:rsidP="008C07C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here are per unit </w:t>
            </w:r>
          </w:p>
        </w:tc>
        <w:tc>
          <w:tcPr>
            <w:tcW w:w="626"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30"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481"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055" w:type="pct"/>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bl>
    <w:p w:rsidR="000826C3" w:rsidRDefault="000826C3" w:rsidP="000826C3">
      <w:pPr>
        <w:spacing w:line="480" w:lineRule="auto"/>
        <w:rPr>
          <w:rFonts w:ascii="Times New Roman" w:hAnsi="Times New Roman" w:cs="Times New Roman"/>
          <w:sz w:val="24"/>
          <w:szCs w:val="24"/>
        </w:rPr>
      </w:pPr>
    </w:p>
    <w:p w:rsidR="000826C3" w:rsidRDefault="000826C3" w:rsidP="000826C3">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calendar year 2020, total fixed costs are equal to $26,950 annually. As summarized below, the key fixed costs include: </w:t>
      </w:r>
    </w:p>
    <w:tbl>
      <w:tblPr>
        <w:tblStyle w:val="MediumGrid1-Accent1"/>
        <w:tblW w:w="2837" w:type="pct"/>
        <w:tblLook w:val="04A0" w:firstRow="1" w:lastRow="0" w:firstColumn="1" w:lastColumn="0" w:noHBand="0" w:noVBand="1"/>
      </w:tblPr>
      <w:tblGrid>
        <w:gridCol w:w="3210"/>
        <w:gridCol w:w="2090"/>
      </w:tblGrid>
      <w:tr w:rsidR="000826C3" w:rsidRPr="0020352C" w:rsidTr="008C07C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hideMark/>
          </w:tcPr>
          <w:p w:rsidR="000826C3" w:rsidRPr="0020352C" w:rsidRDefault="000826C3" w:rsidP="008C07C3">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Fixed Cost Category</w:t>
            </w:r>
          </w:p>
        </w:tc>
        <w:tc>
          <w:tcPr>
            <w:tcW w:w="1972" w:type="pct"/>
            <w:noWrap/>
            <w:hideMark/>
          </w:tcPr>
          <w:p w:rsidR="000826C3" w:rsidRPr="0020352C" w:rsidRDefault="000826C3" w:rsidP="008C07C3">
            <w:pPr>
              <w:spacing w:before="240" w:after="24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Amount</w:t>
            </w:r>
          </w:p>
        </w:tc>
      </w:tr>
      <w:tr w:rsidR="000826C3" w:rsidRPr="0020352C"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hideMark/>
          </w:tcPr>
          <w:p w:rsidR="000826C3" w:rsidRPr="0020352C" w:rsidRDefault="000826C3" w:rsidP="008C07C3">
            <w:pPr>
              <w:rPr>
                <w:rFonts w:ascii="Times New Roman" w:eastAsia="Times New Roman" w:hAnsi="Times New Roman" w:cs="Times New Roman"/>
                <w:sz w:val="20"/>
                <w:szCs w:val="20"/>
              </w:rPr>
            </w:pPr>
            <w:r w:rsidRPr="0020352C">
              <w:rPr>
                <w:rFonts w:ascii="Times New Roman" w:eastAsia="Times New Roman" w:hAnsi="Times New Roman" w:cs="Times New Roman"/>
                <w:sz w:val="20"/>
                <w:szCs w:val="20"/>
              </w:rPr>
              <w:t> </w:t>
            </w:r>
            <w:r>
              <w:rPr>
                <w:rFonts w:ascii="Times New Roman" w:eastAsia="Times New Roman" w:hAnsi="Times New Roman" w:cs="Times New Roman"/>
                <w:sz w:val="20"/>
                <w:szCs w:val="20"/>
              </w:rPr>
              <w:t>Advertising and marketing</w:t>
            </w:r>
          </w:p>
        </w:tc>
        <w:tc>
          <w:tcPr>
            <w:tcW w:w="1972" w:type="pct"/>
            <w:noWrap/>
            <w:hideMark/>
          </w:tcPr>
          <w:p w:rsidR="000826C3" w:rsidRPr="0020352C"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$3,241</w:t>
            </w:r>
          </w:p>
        </w:tc>
      </w:tr>
      <w:tr w:rsidR="000826C3" w:rsidRPr="001D5F10" w:rsidTr="008C07C3">
        <w:trPr>
          <w:trHeight w:val="255"/>
        </w:trPr>
        <w:tc>
          <w:tcPr>
            <w:cnfStyle w:val="001000000000" w:firstRow="0" w:lastRow="0" w:firstColumn="1" w:lastColumn="0" w:oddVBand="0" w:evenVBand="0" w:oddHBand="0" w:evenHBand="0" w:firstRowFirstColumn="0" w:firstRowLastColumn="0" w:lastRowFirstColumn="0" w:lastRowLastColumn="0"/>
            <w:tcW w:w="3028" w:type="pct"/>
            <w:noWrap/>
            <w:hideMark/>
          </w:tcPr>
          <w:p w:rsidR="000826C3" w:rsidRPr="0020352C" w:rsidRDefault="000826C3" w:rsidP="008C07C3">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Rent</w:t>
            </w:r>
          </w:p>
        </w:tc>
        <w:tc>
          <w:tcPr>
            <w:tcW w:w="1972" w:type="pct"/>
            <w:noWrap/>
          </w:tcPr>
          <w:p w:rsidR="000826C3" w:rsidRPr="001D5F10"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$3,000</w:t>
            </w:r>
          </w:p>
        </w:tc>
      </w:tr>
      <w:tr w:rsidR="000826C3" w:rsidRPr="001D5F10"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hideMark/>
          </w:tcPr>
          <w:p w:rsidR="000826C3" w:rsidRPr="0020352C"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Insurance</w:t>
            </w:r>
          </w:p>
        </w:tc>
        <w:tc>
          <w:tcPr>
            <w:tcW w:w="1972" w:type="pct"/>
            <w:noWrap/>
          </w:tcPr>
          <w:p w:rsidR="000826C3" w:rsidRPr="001D5F10"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$208</w:t>
            </w:r>
          </w:p>
        </w:tc>
      </w:tr>
      <w:tr w:rsidR="000826C3" w:rsidTr="008C07C3">
        <w:trPr>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Bank charges and fees</w:t>
            </w:r>
          </w:p>
        </w:tc>
        <w:tc>
          <w:tcPr>
            <w:tcW w:w="1972" w:type="pct"/>
            <w:noWrap/>
          </w:tcPr>
          <w:p w:rsidR="000826C3"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$229</w:t>
            </w:r>
          </w:p>
        </w:tc>
      </w:tr>
      <w:tr w:rsidR="000826C3"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Fees for professional services</w:t>
            </w:r>
          </w:p>
        </w:tc>
        <w:tc>
          <w:tcPr>
            <w:tcW w:w="1972" w:type="pct"/>
            <w:noWrap/>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$302</w:t>
            </w:r>
          </w:p>
        </w:tc>
      </w:tr>
      <w:tr w:rsidR="000826C3" w:rsidTr="008C07C3">
        <w:trPr>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Meals and entertainment</w:t>
            </w:r>
          </w:p>
        </w:tc>
        <w:tc>
          <w:tcPr>
            <w:tcW w:w="1972" w:type="pct"/>
            <w:noWrap/>
          </w:tcPr>
          <w:p w:rsidR="000826C3"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$1,297</w:t>
            </w:r>
          </w:p>
        </w:tc>
      </w:tr>
      <w:tr w:rsidR="000826C3"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Office supplies, software fees</w:t>
            </w:r>
          </w:p>
        </w:tc>
        <w:tc>
          <w:tcPr>
            <w:tcW w:w="1972" w:type="pct"/>
            <w:noWrap/>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$8,242</w:t>
            </w:r>
          </w:p>
        </w:tc>
      </w:tr>
      <w:tr w:rsidR="000826C3" w:rsidTr="008C07C3">
        <w:trPr>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Repairs and maintenance</w:t>
            </w:r>
          </w:p>
        </w:tc>
        <w:tc>
          <w:tcPr>
            <w:tcW w:w="1972" w:type="pct"/>
            <w:noWrap/>
          </w:tcPr>
          <w:p w:rsidR="000826C3"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$949</w:t>
            </w:r>
          </w:p>
        </w:tc>
      </w:tr>
      <w:tr w:rsidR="000826C3"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Employee for counter/cash register</w:t>
            </w:r>
          </w:p>
        </w:tc>
        <w:tc>
          <w:tcPr>
            <w:tcW w:w="1972" w:type="pct"/>
            <w:noWrap/>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$3,202</w:t>
            </w:r>
          </w:p>
        </w:tc>
      </w:tr>
      <w:tr w:rsidR="000826C3" w:rsidTr="008C07C3">
        <w:trPr>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Square fees</w:t>
            </w:r>
          </w:p>
        </w:tc>
        <w:tc>
          <w:tcPr>
            <w:tcW w:w="1972" w:type="pct"/>
            <w:noWrap/>
          </w:tcPr>
          <w:p w:rsidR="000826C3"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$1,228</w:t>
            </w:r>
          </w:p>
        </w:tc>
      </w:tr>
      <w:tr w:rsidR="000826C3"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Job supplies (adjusted)</w:t>
            </w:r>
          </w:p>
        </w:tc>
        <w:tc>
          <w:tcPr>
            <w:tcW w:w="1972" w:type="pct"/>
            <w:noWrap/>
          </w:tcPr>
          <w:p w:rsidR="000826C3" w:rsidRDefault="000826C3" w:rsidP="008C07C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$3,362</w:t>
            </w:r>
          </w:p>
        </w:tc>
      </w:tr>
      <w:tr w:rsidR="000826C3" w:rsidTr="008C07C3">
        <w:trPr>
          <w:trHeight w:val="255"/>
        </w:trPr>
        <w:tc>
          <w:tcPr>
            <w:cnfStyle w:val="001000000000" w:firstRow="0" w:lastRow="0" w:firstColumn="1" w:lastColumn="0" w:oddVBand="0" w:evenVBand="0" w:oddHBand="0" w:evenHBand="0" w:firstRowFirstColumn="0" w:firstRowLastColumn="0" w:lastRowFirstColumn="0" w:lastRowLastColumn="0"/>
            <w:tcW w:w="3028" w:type="pct"/>
            <w:noWrap/>
          </w:tcPr>
          <w:p w:rsidR="000826C3" w:rsidRDefault="000826C3" w:rsidP="008C07C3">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Other miscellaneous fixed costs</w:t>
            </w:r>
          </w:p>
        </w:tc>
        <w:tc>
          <w:tcPr>
            <w:tcW w:w="1972" w:type="pct"/>
            <w:noWrap/>
          </w:tcPr>
          <w:p w:rsidR="000826C3" w:rsidRPr="00367109" w:rsidRDefault="000826C3" w:rsidP="008C07C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u w:val="single"/>
              </w:rPr>
            </w:pPr>
            <w:r w:rsidRPr="00367109">
              <w:rPr>
                <w:rFonts w:ascii="Times New Roman" w:eastAsia="Times New Roman" w:hAnsi="Times New Roman" w:cs="Times New Roman"/>
                <w:b/>
                <w:sz w:val="20"/>
                <w:szCs w:val="20"/>
                <w:u w:val="single"/>
              </w:rPr>
              <w:t>$1,190</w:t>
            </w:r>
          </w:p>
        </w:tc>
      </w:tr>
      <w:tr w:rsidR="000826C3" w:rsidRPr="001D5F10" w:rsidTr="008C07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28" w:type="pct"/>
            <w:noWrap/>
            <w:hideMark/>
          </w:tcPr>
          <w:p w:rsidR="000826C3" w:rsidRPr="0020352C" w:rsidRDefault="000826C3" w:rsidP="008C07C3">
            <w:pPr>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fixed costs per year</w:t>
            </w:r>
          </w:p>
        </w:tc>
        <w:tc>
          <w:tcPr>
            <w:tcW w:w="1972" w:type="pct"/>
            <w:noWrap/>
          </w:tcPr>
          <w:p w:rsidR="000826C3" w:rsidRPr="001D5F10" w:rsidRDefault="000826C3" w:rsidP="008C07C3">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$26,450</w:t>
            </w:r>
          </w:p>
        </w:tc>
      </w:tr>
    </w:tbl>
    <w:p w:rsidR="000826C3" w:rsidRDefault="000826C3" w:rsidP="000826C3">
      <w:pPr>
        <w:spacing w:after="0" w:line="240" w:lineRule="auto"/>
        <w:rPr>
          <w:rFonts w:ascii="Times New Roman" w:hAnsi="Times New Roman" w:cs="Times New Roman"/>
          <w:sz w:val="24"/>
          <w:szCs w:val="24"/>
        </w:rPr>
      </w:pPr>
    </w:p>
    <w:p w:rsidR="000826C3" w:rsidRDefault="000826C3" w:rsidP="000826C3">
      <w:pPr>
        <w:spacing w:after="0" w:line="240" w:lineRule="auto"/>
        <w:rPr>
          <w:rFonts w:ascii="Times New Roman" w:hAnsi="Times New Roman" w:cs="Times New Roman"/>
          <w:sz w:val="24"/>
          <w:szCs w:val="24"/>
        </w:rPr>
      </w:pPr>
      <w:r>
        <w:rPr>
          <w:rFonts w:ascii="Times New Roman" w:hAnsi="Times New Roman" w:cs="Times New Roman"/>
          <w:sz w:val="24"/>
          <w:szCs w:val="24"/>
        </w:rPr>
        <w:t>To calculate breakeven, we have estimated a weighted average contribution margin. In essence, we weighted the contribution margins of each product line or revenue driver based on its percentage of total sales.  This produced a weighted contribution margin per unit of $1.81.</w:t>
      </w:r>
    </w:p>
    <w:p w:rsidR="000826C3" w:rsidRDefault="000826C3" w:rsidP="000826C3">
      <w:pPr>
        <w:spacing w:after="0" w:line="240" w:lineRule="auto"/>
        <w:rPr>
          <w:rFonts w:ascii="Times New Roman" w:hAnsi="Times New Roman" w:cs="Times New Roman"/>
          <w:sz w:val="24"/>
          <w:szCs w:val="24"/>
        </w:rPr>
      </w:pPr>
    </w:p>
    <w:p w:rsidR="000826C3" w:rsidRDefault="000826C3" w:rsidP="000826C3">
      <w:pPr>
        <w:spacing w:after="0" w:line="240" w:lineRule="auto"/>
        <w:rPr>
          <w:rFonts w:ascii="Times New Roman" w:hAnsi="Times New Roman" w:cs="Times New Roman"/>
          <w:sz w:val="24"/>
          <w:szCs w:val="24"/>
        </w:rPr>
      </w:pPr>
      <w:r>
        <w:rPr>
          <w:rFonts w:ascii="Times New Roman" w:hAnsi="Times New Roman" w:cs="Times New Roman"/>
          <w:sz w:val="24"/>
          <w:szCs w:val="24"/>
        </w:rPr>
        <w:t>The weighted average contribution margin was then divided in total fixed costs, producing a breakeven number (in units) of:</w:t>
      </w:r>
    </w:p>
    <w:p w:rsidR="000826C3" w:rsidRDefault="000826C3" w:rsidP="000826C3">
      <w:pPr>
        <w:spacing w:after="0" w:line="240" w:lineRule="auto"/>
        <w:rPr>
          <w:rFonts w:ascii="Times New Roman" w:hAnsi="Times New Roman" w:cs="Times New Roman"/>
          <w:sz w:val="24"/>
          <w:szCs w:val="24"/>
        </w:rPr>
      </w:pPr>
    </w:p>
    <w:p w:rsidR="000826C3" w:rsidRPr="007B7ADA" w:rsidRDefault="000826C3" w:rsidP="000826C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w:t>
      </w:r>
      <w:proofErr w:type="gramStart"/>
      <w:r>
        <w:rPr>
          <w:rFonts w:ascii="Times New Roman" w:hAnsi="Times New Roman" w:cs="Times New Roman"/>
          <w:sz w:val="24"/>
          <w:szCs w:val="24"/>
          <w:u w:val="single"/>
        </w:rPr>
        <w:t>26,450</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14,613 units (pieces)</w:t>
      </w:r>
    </w:p>
    <w:p w:rsidR="000826C3" w:rsidRPr="007B7ADA" w:rsidRDefault="000826C3" w:rsidP="000826C3">
      <w:pPr>
        <w:spacing w:after="0" w:line="240" w:lineRule="auto"/>
        <w:rPr>
          <w:rFonts w:ascii="Times New Roman" w:hAnsi="Times New Roman" w:cs="Times New Roman"/>
          <w:sz w:val="24"/>
          <w:szCs w:val="24"/>
        </w:rPr>
      </w:pPr>
      <w:r w:rsidRPr="007B7A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ADA">
        <w:rPr>
          <w:rFonts w:ascii="Times New Roman" w:hAnsi="Times New Roman" w:cs="Times New Roman"/>
          <w:sz w:val="24"/>
          <w:szCs w:val="24"/>
        </w:rPr>
        <w:t>$</w:t>
      </w:r>
      <w:r>
        <w:rPr>
          <w:rFonts w:ascii="Times New Roman" w:hAnsi="Times New Roman" w:cs="Times New Roman"/>
          <w:sz w:val="24"/>
          <w:szCs w:val="24"/>
        </w:rPr>
        <w:t>1</w:t>
      </w:r>
      <w:r w:rsidRPr="007B7ADA">
        <w:rPr>
          <w:rFonts w:ascii="Times New Roman" w:hAnsi="Times New Roman" w:cs="Times New Roman"/>
          <w:sz w:val="24"/>
          <w:szCs w:val="24"/>
        </w:rPr>
        <w:t>.</w:t>
      </w:r>
      <w:r>
        <w:rPr>
          <w:rFonts w:ascii="Times New Roman" w:hAnsi="Times New Roman" w:cs="Times New Roman"/>
          <w:sz w:val="24"/>
          <w:szCs w:val="24"/>
        </w:rPr>
        <w:t>81</w:t>
      </w:r>
      <w:r w:rsidRPr="007B7ADA">
        <w:rPr>
          <w:rFonts w:ascii="Times New Roman" w:hAnsi="Times New Roman" w:cs="Times New Roman"/>
          <w:sz w:val="24"/>
          <w:szCs w:val="24"/>
        </w:rPr>
        <w:t xml:space="preserve">   </w:t>
      </w:r>
    </w:p>
    <w:p w:rsidR="000826C3" w:rsidRDefault="000826C3" w:rsidP="000826C3">
      <w:pPr>
        <w:spacing w:after="0" w:line="240" w:lineRule="auto"/>
        <w:rPr>
          <w:rFonts w:ascii="Times New Roman" w:hAnsi="Times New Roman" w:cs="Times New Roman"/>
          <w:sz w:val="24"/>
          <w:szCs w:val="24"/>
        </w:rPr>
      </w:pPr>
    </w:p>
    <w:p w:rsidR="000826C3" w:rsidRDefault="000826C3" w:rsidP="000826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units are distributed across the product mix. Based on the percentage of units (not sales revenue) that each product currently represents, and using bonbons as an example, the company needs to sell 10667 units of bonbons annually to breakeven, and in 2020 a total of 11,974 units of bonbons were actually sold. Total production of all items in 2020 was 16,346 pieces, resulting in a marginal profit in this first year.  The projected breakeven chart below illustrates the potential for significant profit growth in the next few years. </w:t>
      </w:r>
    </w:p>
    <w:p w:rsidR="000826C3" w:rsidRDefault="000826C3" w:rsidP="000826C3">
      <w:pPr>
        <w:spacing w:line="480" w:lineRule="auto"/>
        <w:rPr>
          <w:rFonts w:ascii="Times New Roman" w:hAnsi="Times New Roman" w:cs="Times New Roman"/>
          <w:sz w:val="24"/>
          <w:szCs w:val="24"/>
        </w:rPr>
      </w:pPr>
    </w:p>
    <w:p w:rsidR="000826C3" w:rsidRDefault="000826C3" w:rsidP="000826C3">
      <w:pPr>
        <w:spacing w:line="480" w:lineRule="auto"/>
        <w:rPr>
          <w:rFonts w:ascii="Times New Roman" w:hAnsi="Times New Roman" w:cs="Times New Roman"/>
          <w:sz w:val="24"/>
          <w:szCs w:val="24"/>
        </w:rPr>
      </w:pPr>
    </w:p>
    <w:p w:rsidR="000826C3" w:rsidRPr="00DE1075" w:rsidRDefault="000826C3" w:rsidP="000826C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Chart: Break-Even Curve Over Five Years</w:t>
      </w:r>
    </w:p>
    <w:p w:rsidR="000826C3" w:rsidRDefault="000826C3" w:rsidP="000826C3">
      <w:pPr>
        <w:spacing w:line="480" w:lineRule="auto"/>
        <w:jc w:val="center"/>
      </w:pPr>
      <w:r>
        <w:rPr>
          <w:noProof/>
        </w:rPr>
        <w:drawing>
          <wp:inline distT="0" distB="0" distL="0" distR="0" wp14:anchorId="21A821DB" wp14:editId="4A2798E3">
            <wp:extent cx="5010150" cy="2543175"/>
            <wp:effectExtent l="0" t="0" r="0" b="9525"/>
            <wp:docPr id="20" name="Chart 20">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0826C3" w:rsidRDefault="000826C3" w:rsidP="000826C3">
      <w:pPr>
        <w:spacing w:after="0" w:line="240" w:lineRule="auto"/>
        <w:rPr>
          <w:rFonts w:ascii="Times New Roman" w:hAnsi="Times New Roman" w:cs="Times New Roman"/>
          <w:b/>
          <w:sz w:val="24"/>
          <w:szCs w:val="24"/>
        </w:rPr>
      </w:pPr>
    </w:p>
    <w:p w:rsidR="000826C3" w:rsidRDefault="000826C3" w:rsidP="000826C3">
      <w:pPr>
        <w:spacing w:after="0" w:line="240" w:lineRule="auto"/>
        <w:rPr>
          <w:rFonts w:ascii="Times New Roman" w:hAnsi="Times New Roman" w:cs="Times New Roman"/>
          <w:b/>
          <w:sz w:val="24"/>
          <w:szCs w:val="24"/>
        </w:rPr>
      </w:pPr>
      <w:r w:rsidRPr="007B7ADA">
        <w:rPr>
          <w:rFonts w:ascii="Times New Roman" w:hAnsi="Times New Roman" w:cs="Times New Roman"/>
          <w:b/>
          <w:sz w:val="24"/>
          <w:szCs w:val="24"/>
        </w:rPr>
        <w:t>Profit Model</w:t>
      </w:r>
    </w:p>
    <w:p w:rsidR="000826C3" w:rsidRDefault="000826C3" w:rsidP="000826C3">
      <w:pPr>
        <w:spacing w:after="0" w:line="240" w:lineRule="auto"/>
        <w:rPr>
          <w:rFonts w:ascii="Times New Roman" w:hAnsi="Times New Roman" w:cs="Times New Roman"/>
          <w:sz w:val="24"/>
          <w:szCs w:val="24"/>
        </w:rPr>
      </w:pPr>
    </w:p>
    <w:p w:rsidR="000826C3" w:rsidRDefault="000826C3" w:rsidP="000826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profit model at SANAA reflects the logic of how profits are earned by the company by considering margins, volumes, operating leverage and revenue drivers.  At present, the company operates with moderate margins on low to moderate volumes. Volumes in 2020 were enough to achieve breakeven and generate a small profit, suggesting profits will continue to rise as the customer based grows and more systematic and targeted marketing efforts are implemented. Fixed costs currently represent about three-fourths of all expenses, suggesting high operating leverage.  However, some of these costs will come down as the first year of operations involved considerable learning and some inefficiencies. Further, some of these costs have been eliminated for the immediate term, such as the hourly employee. And, with more precise tracking and enhanced ordering, the job supplies are likely to become largely variable costs. Finally, SANAA has six revenue drivers. Of these, bonbons are clearly the top contributors to profitability, followed by turtles and mendicants, Chocolate dipped fruit is a candidate for deletion, although it may offer some marketing benefits insofar as it contributes to an image of a diverse mix of high end products. The key question going forward is the role of the externally sourced products.  These would seem to be more of a distraction, taking time and money away from the company’s production of artisan chocolates, and the intention is to discontinue these items. The exception being hot chocolate mix. Here, product sells out quickly, and decent margins are earned, but supply of the key ingredient can be problematic.  SANAA will continue to work on a more dependable supply arrangement for hot chocolate. </w:t>
      </w:r>
    </w:p>
    <w:p w:rsidR="000826C3" w:rsidRPr="00382223" w:rsidRDefault="000826C3" w:rsidP="000826C3">
      <w:pPr>
        <w:pStyle w:val="ListParagraph"/>
        <w:spacing w:after="0" w:line="480" w:lineRule="auto"/>
        <w:jc w:val="both"/>
        <w:rPr>
          <w:rStyle w:val="None"/>
          <w:rFonts w:ascii="Times New Roman" w:hAnsi="Times New Roman"/>
          <w:b/>
          <w:bCs/>
          <w:color w:val="C00000"/>
          <w:sz w:val="36"/>
          <w:szCs w:val="36"/>
        </w:rPr>
      </w:pPr>
    </w:p>
    <w:p w:rsidR="00625A73" w:rsidRDefault="00625A73"/>
    <w:sectPr w:rsidR="00625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C3"/>
    <w:rsid w:val="000826C3"/>
    <w:rsid w:val="0054768D"/>
    <w:rsid w:val="00625A73"/>
    <w:rsid w:val="00A045E2"/>
    <w:rsid w:val="00C05455"/>
    <w:rsid w:val="00E8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16EA1-EAE6-4D40-BAA8-B43B74B9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C3"/>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1">
    <w:name w:val="Medium Grid 1 Accent 1"/>
    <w:basedOn w:val="TableNormal"/>
    <w:uiPriority w:val="67"/>
    <w:rsid w:val="000826C3"/>
    <w:rPr>
      <w:rFonts w:asciiTheme="minorHAnsi"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ListParagraph">
    <w:name w:val="List Paragraph"/>
    <w:uiPriority w:val="34"/>
    <w:qFormat/>
    <w:rsid w:val="000826C3"/>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rPr>
  </w:style>
  <w:style w:type="character" w:customStyle="1" w:styleId="None">
    <w:name w:val="None"/>
    <w:rsid w:val="0008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RDAYKHUNLAY\Desktop\fiverr%20job\Sanaa%20LLC%20&#8216;DBA&#8217;%20Sanaa%20Chocolates%20Financia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Breakeven Analysis</a:t>
            </a:r>
          </a:p>
        </c:rich>
      </c:tx>
      <c:overlay val="0"/>
      <c:spPr>
        <a:noFill/>
        <a:ln>
          <a:noFill/>
        </a:ln>
        <a:effectLst/>
      </c:spPr>
    </c:title>
    <c:autoTitleDeleted val="0"/>
    <c:plotArea>
      <c:layout/>
      <c:lineChart>
        <c:grouping val="standard"/>
        <c:varyColors val="0"/>
        <c:ser>
          <c:idx val="0"/>
          <c:order val="0"/>
          <c:tx>
            <c:strRef>
              <c:f>'Breakeven Analysis'!$B$12</c:f>
              <c:strCache>
                <c:ptCount val="1"/>
                <c:pt idx="0">
                  <c:v>Break Even Point</c:v>
                </c:pt>
              </c:strCache>
            </c:strRef>
          </c:tx>
          <c:spPr>
            <a:ln w="22225" cap="rnd">
              <a:solidFill>
                <a:schemeClr val="accent1"/>
              </a:solidFill>
            </a:ln>
            <a:effectLst>
              <a:glow rad="139700">
                <a:schemeClr val="accent1">
                  <a:satMod val="175000"/>
                  <a:alpha val="14000"/>
                </a:schemeClr>
              </a:glow>
            </a:effectLst>
          </c:spPr>
          <c:marker>
            <c:symbol val="none"/>
          </c:marker>
          <c:dLbls>
            <c:dLbl>
              <c:idx val="0"/>
              <c:tx>
                <c:rich>
                  <a:bodyPr/>
                  <a:lstStyle/>
                  <a:p>
                    <a:r>
                      <a:rPr lang="en-US"/>
                      <a:t>$45,000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B4-4FCD-B316-BF2D2139DA4A}"/>
                </c:ext>
              </c:extLst>
            </c:dLbl>
            <c:dLbl>
              <c:idx val="1"/>
              <c:tx>
                <c:rich>
                  <a:bodyPr/>
                  <a:lstStyle/>
                  <a:p>
                    <a:r>
                      <a:rPr lang="en-US"/>
                      <a:t>46592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B4-4FCD-B316-BF2D2139DA4A}"/>
                </c:ext>
              </c:extLst>
            </c:dLbl>
            <c:dLbl>
              <c:idx val="2"/>
              <c:tx>
                <c:rich>
                  <a:bodyPr/>
                  <a:lstStyle/>
                  <a:p>
                    <a:r>
                      <a:rPr lang="en-US"/>
                      <a:t>48265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B4-4FCD-B316-BF2D2139DA4A}"/>
                </c:ext>
              </c:extLst>
            </c:dLbl>
            <c:dLbl>
              <c:idx val="3"/>
              <c:tx>
                <c:rich>
                  <a:bodyPr/>
                  <a:lstStyle/>
                  <a:p>
                    <a:r>
                      <a:rPr lang="en-US"/>
                      <a:t>50,020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B4-4FCD-B316-BF2D2139DA4A}"/>
                </c:ext>
              </c:extLst>
            </c:dLbl>
            <c:dLbl>
              <c:idx val="4"/>
              <c:tx>
                <c:rich>
                  <a:bodyPr/>
                  <a:lstStyle/>
                  <a:p>
                    <a:r>
                      <a:rPr lang="en-US"/>
                      <a:t>51,864</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B4-4FCD-B316-BF2D2139DA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'Breakeven Analysis'!$D$3:$H$3</c:f>
              <c:strCache>
                <c:ptCount val="5"/>
                <c:pt idx="0">
                  <c:v>Year 1</c:v>
                </c:pt>
                <c:pt idx="1">
                  <c:v>Year 2</c:v>
                </c:pt>
                <c:pt idx="2">
                  <c:v>Year 3</c:v>
                </c:pt>
                <c:pt idx="3">
                  <c:v>Year 4</c:v>
                </c:pt>
                <c:pt idx="4">
                  <c:v>Year 5</c:v>
                </c:pt>
              </c:strCache>
            </c:strRef>
          </c:cat>
          <c:val>
            <c:numRef>
              <c:f>'Breakeven Analysis'!$D$12:$H$12</c:f>
              <c:numCache>
                <c:formatCode>_(* #,##0_);_(* \(#,##0\);_(* "-"??_);_(@_)</c:formatCode>
                <c:ptCount val="5"/>
                <c:pt idx="0">
                  <c:v>40740.740740740737</c:v>
                </c:pt>
                <c:pt idx="1">
                  <c:v>42333.333333333336</c:v>
                </c:pt>
                <c:pt idx="2">
                  <c:v>44005.555555555555</c:v>
                </c:pt>
                <c:pt idx="3">
                  <c:v>45761.388888888883</c:v>
                </c:pt>
                <c:pt idx="4">
                  <c:v>47605.013888888876</c:v>
                </c:pt>
              </c:numCache>
            </c:numRef>
          </c:val>
          <c:smooth val="0"/>
          <c:extLst>
            <c:ext xmlns:c16="http://schemas.microsoft.com/office/drawing/2014/chart" uri="{C3380CC4-5D6E-409C-BE32-E72D297353CC}">
              <c16:uniqueId val="{00000005-46B4-4FCD-B316-BF2D2139DA4A}"/>
            </c:ext>
          </c:extLst>
        </c:ser>
        <c:ser>
          <c:idx val="1"/>
          <c:order val="1"/>
          <c:tx>
            <c:strRef>
              <c:f>'Breakeven Analysis'!$B$13</c:f>
              <c:strCache>
                <c:ptCount val="1"/>
                <c:pt idx="0">
                  <c:v>Sales</c:v>
                </c:pt>
              </c:strCache>
            </c:strRef>
          </c:tx>
          <c:spPr>
            <a:ln w="22225" cap="rnd">
              <a:solidFill>
                <a:schemeClr val="accent2"/>
              </a:solidFill>
            </a:ln>
            <a:effectLst>
              <a:glow rad="139700">
                <a:schemeClr val="accent2">
                  <a:satMod val="175000"/>
                  <a:alpha val="14000"/>
                </a:schemeClr>
              </a:glow>
            </a:effectLst>
          </c:spPr>
          <c:marker>
            <c:symbol val="none"/>
          </c:marker>
          <c:dLbls>
            <c:dLbl>
              <c:idx val="0"/>
              <c:tx>
                <c:rich>
                  <a:bodyPr/>
                  <a:lstStyle/>
                  <a:p>
                    <a:r>
                      <a:rPr lang="en-US"/>
                      <a:t>$48985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B4-4FCD-B316-BF2D2139DA4A}"/>
                </c:ext>
              </c:extLst>
            </c:dLbl>
            <c:dLbl>
              <c:idx val="1"/>
              <c:tx>
                <c:rich>
                  <a:bodyPr/>
                  <a:lstStyle/>
                  <a:p>
                    <a:r>
                      <a:rPr lang="en-US"/>
                      <a:t>$</a:t>
                    </a:r>
                    <a:fld id="{72CB88BC-6805-4B05-9A43-165C71B3CCAE}"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6B4-4FCD-B316-BF2D2139DA4A}"/>
                </c:ext>
              </c:extLst>
            </c:dLbl>
            <c:dLbl>
              <c:idx val="2"/>
              <c:tx>
                <c:rich>
                  <a:bodyPr/>
                  <a:lstStyle/>
                  <a:p>
                    <a:r>
                      <a:rPr lang="en-US"/>
                      <a:t>$</a:t>
                    </a:r>
                    <a:fld id="{1C5CA6F6-9F02-4465-A812-664F3ACF9C32}"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6B4-4FCD-B316-BF2D2139DA4A}"/>
                </c:ext>
              </c:extLst>
            </c:dLbl>
            <c:dLbl>
              <c:idx val="3"/>
              <c:tx>
                <c:rich>
                  <a:bodyPr/>
                  <a:lstStyle/>
                  <a:p>
                    <a:r>
                      <a:rPr lang="en-US"/>
                      <a:t>$</a:t>
                    </a:r>
                    <a:fld id="{FA4C65EC-6F19-4636-BB65-30B493EBA1EE}"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6B4-4FCD-B316-BF2D2139DA4A}"/>
                </c:ext>
              </c:extLst>
            </c:dLbl>
            <c:dLbl>
              <c:idx val="4"/>
              <c:tx>
                <c:rich>
                  <a:bodyPr/>
                  <a:lstStyle/>
                  <a:p>
                    <a:r>
                      <a:rPr lang="en-US"/>
                      <a:t>$</a:t>
                    </a:r>
                    <a:fld id="{2455ECB3-8E2D-4082-9F39-101396B92DC6}"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46B4-4FCD-B316-BF2D2139DA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'Breakeven Analysis'!$D$3:$H$3</c:f>
              <c:strCache>
                <c:ptCount val="5"/>
                <c:pt idx="0">
                  <c:v>Year 1</c:v>
                </c:pt>
                <c:pt idx="1">
                  <c:v>Year 2</c:v>
                </c:pt>
                <c:pt idx="2">
                  <c:v>Year 3</c:v>
                </c:pt>
                <c:pt idx="3">
                  <c:v>Year 4</c:v>
                </c:pt>
                <c:pt idx="4">
                  <c:v>Year 5</c:v>
                </c:pt>
              </c:strCache>
            </c:strRef>
          </c:cat>
          <c:val>
            <c:numRef>
              <c:f>'Breakeven Analysis'!$D$13:$H$13</c:f>
              <c:numCache>
                <c:formatCode>_(* #,##0_);_(* \(#,##0\);_(* "-"??_);_(@_)</c:formatCode>
                <c:ptCount val="5"/>
                <c:pt idx="0">
                  <c:v>74671</c:v>
                </c:pt>
                <c:pt idx="1">
                  <c:v>97072.3</c:v>
                </c:pt>
                <c:pt idx="2">
                  <c:v>126193.99</c:v>
                </c:pt>
                <c:pt idx="3">
                  <c:v>164052.18700000001</c:v>
                </c:pt>
                <c:pt idx="4">
                  <c:v>213267.8431</c:v>
                </c:pt>
              </c:numCache>
            </c:numRef>
          </c:val>
          <c:smooth val="0"/>
          <c:extLst>
            <c:ext xmlns:c16="http://schemas.microsoft.com/office/drawing/2014/chart" uri="{C3380CC4-5D6E-409C-BE32-E72D297353CC}">
              <c16:uniqueId val="{0000000B-46B4-4FCD-B316-BF2D2139DA4A}"/>
            </c:ext>
          </c:extLst>
        </c:ser>
        <c:dLbls>
          <c:dLblPos val="ctr"/>
          <c:showLegendKey val="0"/>
          <c:showVal val="1"/>
          <c:showCatName val="0"/>
          <c:showSerName val="0"/>
          <c:showPercent val="0"/>
          <c:showBubbleSize val="0"/>
        </c:dLbls>
        <c:smooth val="0"/>
        <c:axId val="460540536"/>
        <c:axId val="460540144"/>
      </c:lineChart>
      <c:catAx>
        <c:axId val="46054053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60540144"/>
        <c:crosses val="autoZero"/>
        <c:auto val="1"/>
        <c:lblAlgn val="ctr"/>
        <c:lblOffset val="100"/>
        <c:noMultiLvlLbl val="0"/>
      </c:catAx>
      <c:valAx>
        <c:axId val="46054014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60540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dc:creator>
  <cp:keywords/>
  <dc:description/>
  <cp:lastModifiedBy>Michael Morris</cp:lastModifiedBy>
  <cp:revision>1</cp:revision>
  <dcterms:created xsi:type="dcterms:W3CDTF">2021-09-24T15:39:00Z</dcterms:created>
  <dcterms:modified xsi:type="dcterms:W3CDTF">2021-09-24T15:40:00Z</dcterms:modified>
</cp:coreProperties>
</file>